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BF51E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Este documento contem as contribuições de melhoria do texto do anteprojeto do Capítulo sobre a Região Serrana Macaense, a serem inseridas na revisão do Plano Diretor.</w:t>
      </w:r>
    </w:p>
    <w:p w14:paraId="08B76544">
      <w:pPr>
        <w:jc w:val="both"/>
        <w:rPr>
          <w:rFonts w:hint="default" w:ascii="Arial" w:hAnsi="Arial" w:cs="Arial"/>
        </w:rPr>
      </w:pPr>
    </w:p>
    <w:p w14:paraId="2BB6643D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Em vermelho, é aquilo que precisa ser modificado e em azul as modificações ou acréscimos de temas que não estavam contemplados.</w:t>
      </w:r>
      <w:bookmarkStart w:id="0" w:name="_GoBack"/>
      <w:bookmarkEnd w:id="0"/>
    </w:p>
    <w:p w14:paraId="4934E7DB">
      <w:pPr>
        <w:jc w:val="both"/>
        <w:rPr>
          <w:rFonts w:hint="default" w:ascii="Arial" w:hAnsi="Arial" w:cs="Arial"/>
        </w:rPr>
      </w:pPr>
    </w:p>
    <w:p w14:paraId="07880D79">
      <w:pPr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Novas contribuições podem ser encaminhadas para o email planodiretor@macaé.rj.gov.br ou para o zap  22 997645439 (Marcelo Borsato).</w:t>
      </w:r>
    </w:p>
    <w:p w14:paraId="5FC332F8">
      <w:pPr>
        <w:jc w:val="both"/>
        <w:rPr>
          <w:rFonts w:hint="default"/>
        </w:rPr>
      </w:pPr>
    </w:p>
    <w:p w14:paraId="0766597F">
      <w:pPr>
        <w:rPr>
          <w:rFonts w:hint="default"/>
        </w:rPr>
      </w:pPr>
    </w:p>
    <w:p w14:paraId="6A7B7611">
      <w:pPr>
        <w:rPr>
          <w:rFonts w:hint="default" w:ascii="Arial" w:hAnsi="Arial" w:cs="Arial"/>
          <w:sz w:val="24"/>
          <w:szCs w:val="24"/>
        </w:rPr>
      </w:pPr>
      <w:r>
        <w:rPr>
          <w:rFonts w:hint="default"/>
        </w:rPr>
        <w:t>*</w:t>
      </w:r>
      <w:r>
        <w:rPr>
          <w:rFonts w:hint="default" w:ascii="Arial" w:hAnsi="Arial" w:cs="Arial"/>
          <w:sz w:val="24"/>
          <w:szCs w:val="24"/>
        </w:rPr>
        <w:t>Seção VII</w:t>
      </w:r>
    </w:p>
    <w:p w14:paraId="69622AE9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Da Política de Mobilidade Urbana </w:t>
      </w:r>
      <w:r>
        <w:rPr>
          <w:rFonts w:hint="default" w:ascii="Arial" w:hAnsi="Arial" w:cs="Arial"/>
          <w:color w:val="4874CB" w:themeColor="accent1"/>
          <w:sz w:val="24"/>
          <w:szCs w:val="24"/>
          <w14:textFill>
            <w14:solidFill>
              <w14:schemeClr w14:val="accent1"/>
            </w14:solidFill>
          </w14:textFill>
        </w:rPr>
        <w:t>Distrital da Região Serrana</w:t>
      </w:r>
    </w:p>
    <w:p w14:paraId="56683C62">
      <w:pPr>
        <w:rPr>
          <w:rFonts w:hint="default" w:ascii="Arial" w:hAnsi="Arial" w:cs="Arial"/>
          <w:sz w:val="24"/>
          <w:szCs w:val="24"/>
        </w:rPr>
      </w:pPr>
    </w:p>
    <w:p w14:paraId="609BE0E6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Art. 17. A política de mobilidade da Região Serrana deverá:</w:t>
      </w:r>
    </w:p>
    <w:p w14:paraId="59343E5A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I – </w:t>
      </w:r>
      <w:r>
        <w:rPr>
          <w:rFonts w:hint="default" w:ascii="Arial" w:hAnsi="Arial" w:cs="Arial"/>
          <w:color w:val="4874CB" w:themeColor="accent1"/>
          <w:sz w:val="24"/>
          <w:szCs w:val="24"/>
          <w14:textFill>
            <w14:solidFill>
              <w14:schemeClr w14:val="accent1"/>
            </w14:solidFill>
          </w14:textFill>
        </w:rPr>
        <w:t>estruturar o Sistema de Mobilidade Distrital da Região Serrana como componente territorial do Sistema Municipal de Mobilidade Urbana</w:t>
      </w:r>
      <w:r>
        <w:rPr>
          <w:rFonts w:hint="default" w:ascii="Arial" w:hAnsi="Arial" w:cs="Arial"/>
          <w:sz w:val="24"/>
          <w:szCs w:val="24"/>
        </w:rPr>
        <w:t>;</w:t>
      </w:r>
    </w:p>
    <w:p w14:paraId="12292404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II -  garantir integração entre localidades serranas e sede municipal;</w:t>
      </w:r>
    </w:p>
    <w:p w14:paraId="7B2D13E0">
      <w:pPr>
        <w:rPr>
          <w:rFonts w:hint="default" w:ascii="Arial" w:hAnsi="Arial" w:cs="Arial"/>
          <w:color w:val="4874CB" w:themeColor="accent1"/>
          <w:sz w:val="24"/>
          <w:szCs w:val="24"/>
          <w14:textFill>
            <w14:solidFill>
              <w14:schemeClr w14:val="accent1"/>
            </w14:solidFill>
          </w14:textFill>
        </w:rPr>
      </w:pPr>
      <w:r>
        <w:rPr>
          <w:rFonts w:hint="default" w:ascii="Arial" w:hAnsi="Arial" w:cs="Arial"/>
          <w:sz w:val="24"/>
          <w:szCs w:val="24"/>
        </w:rPr>
        <w:t xml:space="preserve">III – ampliar a segurança viária, </w:t>
      </w:r>
      <w:r>
        <w:rPr>
          <w:rFonts w:hint="default" w:ascii="Arial" w:hAnsi="Arial" w:cs="Arial"/>
          <w:color w:val="4874CB" w:themeColor="accent1"/>
          <w:sz w:val="24"/>
          <w:szCs w:val="24"/>
          <w14:textFill>
            <w14:solidFill>
              <w14:schemeClr w14:val="accent1"/>
            </w14:solidFill>
          </w14:textFill>
        </w:rPr>
        <w:t xml:space="preserve">estabelecendo estratégias de ordenamento da mobilidade; </w:t>
      </w:r>
    </w:p>
    <w:p w14:paraId="5C317F34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IV – priorizar soluções, </w:t>
      </w:r>
      <w:r>
        <w:rPr>
          <w:rFonts w:hint="default" w:ascii="Arial" w:hAnsi="Arial" w:cs="Arial"/>
          <w:color w:val="4874CB" w:themeColor="accent1"/>
          <w:sz w:val="24"/>
          <w:szCs w:val="24"/>
          <w14:textFill>
            <w14:solidFill>
              <w14:schemeClr w14:val="accent1"/>
            </w14:solidFill>
          </w14:textFill>
        </w:rPr>
        <w:t>de pavimentação, requalificação e manutenção viária compatíveis com as condições ambientais e paisagísticas locais, preservando a permeabilidade do solo</w:t>
      </w:r>
      <w:r>
        <w:rPr>
          <w:rFonts w:hint="default" w:ascii="Arial" w:hAnsi="Arial" w:cs="Arial"/>
          <w:sz w:val="24"/>
          <w:szCs w:val="24"/>
        </w:rPr>
        <w:t>;</w:t>
      </w:r>
    </w:p>
    <w:p w14:paraId="015858B6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V – estimular modais não motorizados, </w:t>
      </w:r>
      <w:r>
        <w:rPr>
          <w:rFonts w:hint="default" w:ascii="Arial" w:hAnsi="Arial" w:cs="Arial"/>
          <w:color w:val="4874CB" w:themeColor="accent1"/>
          <w:sz w:val="24"/>
          <w:szCs w:val="24"/>
          <w14:textFill>
            <w14:solidFill>
              <w14:schemeClr w14:val="accent1"/>
            </w14:solidFill>
          </w14:textFill>
        </w:rPr>
        <w:t>nas centralidades distritais</w:t>
      </w:r>
      <w:r>
        <w:rPr>
          <w:rFonts w:hint="default" w:ascii="Arial" w:hAnsi="Arial" w:cs="Arial"/>
          <w:sz w:val="24"/>
          <w:szCs w:val="24"/>
        </w:rPr>
        <w:t>;</w:t>
      </w:r>
    </w:p>
    <w:p w14:paraId="22ED7283">
      <w:pPr>
        <w:rPr>
          <w:rFonts w:hint="default" w:ascii="Arial" w:hAnsi="Arial" w:cs="Arial"/>
          <w:color w:val="4874CB" w:themeColor="accent1"/>
          <w:sz w:val="24"/>
          <w:szCs w:val="24"/>
          <w14:textFill>
            <w14:solidFill>
              <w14:schemeClr w14:val="accent1"/>
            </w14:solidFill>
          </w14:textFill>
        </w:rPr>
      </w:pPr>
      <w:r>
        <w:rPr>
          <w:rFonts w:hint="default" w:ascii="Arial" w:hAnsi="Arial" w:cs="Arial"/>
          <w:sz w:val="24"/>
          <w:szCs w:val="24"/>
        </w:rPr>
        <w:t xml:space="preserve">VI – garantir acessibilidade às áreas turísticas, produtivas, </w:t>
      </w:r>
      <w:r>
        <w:rPr>
          <w:rFonts w:hint="default" w:ascii="Arial" w:hAnsi="Arial" w:cs="Arial"/>
          <w:color w:val="4874CB" w:themeColor="accent1"/>
          <w:sz w:val="24"/>
          <w:szCs w:val="24"/>
          <w14:textFill>
            <w14:solidFill>
              <w14:schemeClr w14:val="accent1"/>
            </w14:solidFill>
          </w14:textFill>
        </w:rPr>
        <w:t>equipamentos públicos e centralidades distritais;;</w:t>
      </w:r>
    </w:p>
    <w:p w14:paraId="130F0A86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VII – promover rotas cênicas e sustentáveis, compatíveis com a paisagem serrana, a preservação ambiental e a segurança viária;</w:t>
      </w:r>
    </w:p>
    <w:p w14:paraId="182F20CE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VIII – </w:t>
      </w:r>
      <w:r>
        <w:rPr>
          <w:rFonts w:hint="default" w:ascii="Arial" w:hAnsi="Arial" w:cs="Arial"/>
          <w:color w:val="4874CB" w:themeColor="accent1"/>
          <w:sz w:val="24"/>
          <w:szCs w:val="24"/>
          <w14:textFill>
            <w14:solidFill>
              <w14:schemeClr w14:val="accent1"/>
            </w14:solidFill>
          </w14:textFill>
        </w:rPr>
        <w:t>identificar e qualificar rotas estratégicas de escoamento da produção rural e de abastecimento local</w:t>
      </w:r>
      <w:r>
        <w:rPr>
          <w:rFonts w:hint="default" w:ascii="Arial" w:hAnsi="Arial" w:cs="Arial"/>
          <w:sz w:val="24"/>
          <w:szCs w:val="24"/>
        </w:rPr>
        <w:t>;</w:t>
      </w:r>
    </w:p>
    <w:p w14:paraId="63B446FB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IX – consolidar a mobilidade segura e sustentável;</w:t>
      </w:r>
    </w:p>
    <w:p w14:paraId="7EB1A693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X - </w:t>
      </w:r>
      <w:r>
        <w:rPr>
          <w:rFonts w:hint="default" w:ascii="Arial" w:hAnsi="Arial" w:cs="Arial"/>
          <w:color w:val="4874CB" w:themeColor="accent1"/>
          <w:sz w:val="24"/>
          <w:szCs w:val="24"/>
          <w14:textFill>
            <w14:solidFill>
              <w14:schemeClr w14:val="accent1"/>
            </w14:solidFill>
          </w14:textFill>
        </w:rPr>
        <w:t>assegurar</w:t>
      </w:r>
      <w:r>
        <w:rPr>
          <w:rFonts w:hint="default" w:ascii="Arial" w:hAnsi="Arial" w:cs="Arial"/>
          <w:sz w:val="24"/>
          <w:szCs w:val="24"/>
        </w:rPr>
        <w:t xml:space="preserve"> acessibilidade universal nos </w:t>
      </w:r>
      <w:r>
        <w:rPr>
          <w:rFonts w:hint="default" w:ascii="Arial" w:hAnsi="Arial" w:cs="Arial"/>
          <w:color w:val="4874CB" w:themeColor="accent1"/>
          <w:sz w:val="24"/>
          <w:szCs w:val="24"/>
          <w14:textFill>
            <w14:solidFill>
              <w14:schemeClr w14:val="accent1"/>
            </w14:solidFill>
          </w14:textFill>
        </w:rPr>
        <w:t>deslocamentos, pontos de parada, áreas de integração, centralidades distritais e equipamentos de mobilidade</w:t>
      </w:r>
      <w:r>
        <w:rPr>
          <w:rFonts w:hint="default" w:ascii="Arial" w:hAnsi="Arial" w:cs="Arial"/>
          <w:sz w:val="24"/>
          <w:szCs w:val="24"/>
        </w:rPr>
        <w:t>;</w:t>
      </w:r>
    </w:p>
    <w:p w14:paraId="6BEEC0FF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XI - implantar estratégias de informação e comunicação, , considerando as limitações de conectividade da Região Serrana;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9B0087"/>
    <w:rsid w:val="18B22F8F"/>
    <w:rsid w:val="519B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2026-05-20T13:39:00Z</dcterms:created>
  <dc:creator>Marcelo Borsato</dc:creator>
  <cp:lastModifiedBy>Marcelo Borsato</cp:lastModifiedBy>
  <dcterms:modified xsi:type="dcterms:W3CDTF">2026-05-20T14:09:03Z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7472491E9EC643CEAF7F9FEC1971471D_11</vt:lpwstr>
  </property>
  <property fmtid="{D5CDD505-2E9C-101B-9397-08002B2CF9AE}" pid="4" name="KSOTemplateDocerSaveRecord">
    <vt:lpwstr>eyJoZGlkIjoiYjQ4MzdlNmRiNjBhZDFlODA1OWU1NTU4NjAwMDkxNTIiLCJ1c2VySWQiOiIxNjY2OTM0NzE0Njg5In0=</vt:lpwstr>
  </property>
</Properties>
</file>