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>Diretoria de Licenciamento Ambiental – DILAM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>Coordenadoria de Licenciamento Ambiental – CLIAM</w:t>
      </w:r>
    </w:p>
    <w:p w:rsidR="00F67803" w:rsidRDefault="00F67803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F678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2E0076" w:rsidRDefault="002E0076" w:rsidP="00F678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31F20"/>
          <w:sz w:val="36"/>
          <w:szCs w:val="36"/>
        </w:rPr>
      </w:pPr>
      <w:r>
        <w:rPr>
          <w:rFonts w:ascii="Arial" w:hAnsi="Arial" w:cs="Arial"/>
          <w:b/>
          <w:bCs/>
          <w:color w:val="231F20"/>
          <w:sz w:val="36"/>
          <w:szCs w:val="36"/>
        </w:rPr>
        <w:t>SISTEMA DE LICENCIAMENTO AMBIENTAL – SLAM</w:t>
      </w:r>
    </w:p>
    <w:p w:rsidR="002E0076" w:rsidRDefault="002E0076" w:rsidP="00F678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31F20"/>
          <w:sz w:val="36"/>
          <w:szCs w:val="36"/>
        </w:rPr>
      </w:pPr>
      <w:r>
        <w:rPr>
          <w:rFonts w:ascii="Arial" w:hAnsi="Arial" w:cs="Arial"/>
          <w:b/>
          <w:bCs/>
          <w:color w:val="231F20"/>
          <w:sz w:val="36"/>
          <w:szCs w:val="36"/>
        </w:rPr>
        <w:t>Instrumentos e Procedimentos</w:t>
      </w:r>
    </w:p>
    <w:p w:rsidR="00F67803" w:rsidRDefault="00F67803" w:rsidP="00F678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F678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F678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Default="00F67803" w:rsidP="002E0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36"/>
        </w:rPr>
      </w:pPr>
    </w:p>
    <w:p w:rsidR="00F67803" w:rsidRPr="00F67803" w:rsidRDefault="002E0076" w:rsidP="00F678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31F2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231F20"/>
          <w:sz w:val="28"/>
          <w:szCs w:val="28"/>
        </w:rPr>
        <w:t>maio</w:t>
      </w:r>
      <w:proofErr w:type="gramEnd"/>
      <w:r>
        <w:rPr>
          <w:rFonts w:ascii="Arial" w:hAnsi="Arial" w:cs="Arial"/>
          <w:b/>
          <w:bCs/>
          <w:color w:val="231F20"/>
          <w:sz w:val="28"/>
          <w:szCs w:val="28"/>
        </w:rPr>
        <w:t>/2010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lastRenderedPageBreak/>
        <w:t>Sumário</w:t>
      </w:r>
    </w:p>
    <w:p w:rsidR="00F67803" w:rsidRPr="003B0BBD" w:rsidRDefault="00F67803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Parte 1: INSTRUMENTOS DO SLAM </w:t>
      </w: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3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Licença Ambiental Simplificada – LAS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3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Licença Prévia – LP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3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Licença Prévia e de Instalação – LPI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3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Licença de Instalação – LI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4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Licença de Instalação e Operação – LIO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4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Licença de Operação – LO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4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Licença de Operação e Recuperação – LOR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4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Licença Ambiental de Recuperação – LAR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4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Autorização Ambiental – AA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5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Certidão Ambiental – CA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6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Outorga de Direito de Uso de Recursos Hídricos – OUT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7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Termo de Encerramento – TE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7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Documento de Averbação – AVB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7</w:t>
      </w:r>
      <w:proofErr w:type="gramEnd"/>
    </w:p>
    <w:p w:rsidR="00F67803" w:rsidRPr="003B0BBD" w:rsidRDefault="00F67803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Parte 2: CONDIÇÕES DE VALIDADE DAS LICENÇAS </w:t>
      </w: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9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Licença Ambiental Simplificada – LAS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9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Licença Prévia – LP 10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Licença de Instalação e Licença Prévia e de Instalação – LPI 11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Licença de Operação – LO e Licença de Instalação e Operação – LIO 12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Licença de Operação e Recuperação – LOR 13</w:t>
      </w:r>
    </w:p>
    <w:p w:rsidR="00F67803" w:rsidRPr="003B0BBD" w:rsidRDefault="00F67803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F67803" w:rsidP="00F67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Parte </w:t>
      </w: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3:</w:t>
      </w:r>
      <w:proofErr w:type="gramEnd"/>
      <w:r w:rsidR="002E0076"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PROCEDIMEN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TOS DO SISTEMA DE LICENCIAMENTO</w:t>
      </w:r>
      <w:r w:rsidR="002E0076"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14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Cadastramento 14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Emissão de GR 15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Vinculação do processo 15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Vistoria e relatório de vistoria 16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Parecer técnico 16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Objeto e condições de validade da licença 16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Emissão do documento 16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Gabaritos de publicação 18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Entrega do documento 19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Acompanhamento 19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lastRenderedPageBreak/>
        <w:t>Parte 1: INSTRUMENTOS DO SLAM</w:t>
      </w:r>
    </w:p>
    <w:p w:rsidR="00F67803" w:rsidRPr="003B0BBD" w:rsidRDefault="00F67803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Licença Ambiental Simplificada – LAS</w:t>
      </w:r>
    </w:p>
    <w:p w:rsidR="00F67803" w:rsidRPr="003B0BBD" w:rsidRDefault="00F67803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A LAS engloba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as três fase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do licenciamento e pode ser concedida a empreendimentos ou</w:t>
      </w:r>
      <w:r w:rsidR="00F67803"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atividades enquadrados na Classe 2, de acordo com a Tabela 1 do Decreto:</w:t>
      </w:r>
    </w:p>
    <w:p w:rsidR="00F67803" w:rsidRPr="003B0BBD" w:rsidRDefault="003B0BBD" w:rsidP="003B0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color w:val="231F20"/>
          <w:sz w:val="20"/>
          <w:szCs w:val="20"/>
        </w:rPr>
        <w:t>Tabela 1</w:t>
      </w:r>
    </w:p>
    <w:p w:rsidR="003B0BBD" w:rsidRPr="003B0BBD" w:rsidRDefault="003B0BBD" w:rsidP="003B0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color w:val="231F20"/>
          <w:sz w:val="20"/>
          <w:szCs w:val="20"/>
        </w:rPr>
        <w:t>Classificação dos empreendimentos/atividades</w:t>
      </w:r>
    </w:p>
    <w:p w:rsidR="00F67803" w:rsidRPr="003B0BBD" w:rsidRDefault="003B0BBD" w:rsidP="003B0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noProof/>
          <w:color w:val="231F20"/>
          <w:sz w:val="20"/>
          <w:szCs w:val="20"/>
          <w:lang w:eastAsia="pt-BR"/>
        </w:rPr>
        <w:drawing>
          <wp:inline distT="0" distB="0" distL="0" distR="0">
            <wp:extent cx="3821430" cy="873760"/>
            <wp:effectExtent l="1905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803" w:rsidRPr="003B0BBD" w:rsidRDefault="00F67803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Os empreendimentos são classificados com base nas tabelas de potencial poluidor e porte que</w:t>
      </w:r>
      <w:r w:rsidR="00F67803"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constam dos capítulos 5 e 6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do </w:t>
      </w:r>
      <w:proofErr w:type="spell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do</w:t>
      </w:r>
      <w:proofErr w:type="spellEnd"/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MN-050.R-4.</w:t>
      </w:r>
    </w:p>
    <w:p w:rsidR="00F67803" w:rsidRPr="003B0BBD" w:rsidRDefault="00F67803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atividade: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aprova a concepção, localização, implantação e operação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de ...</w:t>
      </w:r>
      <w:proofErr w:type="gramEnd"/>
    </w:p>
    <w:p w:rsidR="00F67803" w:rsidRPr="003B0BBD" w:rsidRDefault="00F67803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prazo de validade: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no mínimo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4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anos e no máximo 10 anos.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Licença Prévia – LP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atividade: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aprovando a concepção e localização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de ...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prazo de validade: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no mínimo o do cronograma de elaboração dos planos, programas e</w:t>
      </w:r>
      <w:r w:rsidR="003B0BBD"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projetos e no máximo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5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anos.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Licença Prévia e de Instalação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–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LPI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 LP pode ser convertida em LPI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nos casos em que não for exigido EIA/RIMA ou RAS,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desde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tenha sido apresentada toda a documentação necessária para a concessão de LI. Nesse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caso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- atividade: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aprovando a concepção, localização e implantação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de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prazo de validade: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no mínimo o do cronograma de elaboração dos planos, programas e</w:t>
      </w:r>
      <w:r w:rsidR="003B0B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projetos e no máximo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6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anos.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Haverá uma diferença de custo de análise a ser cobrada por meio de GR complementar. O</w:t>
      </w:r>
      <w:r w:rsidR="003B0B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valor será calculado consultando a Tabela 1 da NA-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051.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R-8.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Licença de Instalação – LI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atividade: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para realizar a obra de construção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de ...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para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implantar ...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prazo de validade: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no mínimo o do cronograma de instalação e pré-operação e no máximo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6</w:t>
      </w:r>
      <w:proofErr w:type="gramEnd"/>
      <w:r w:rsidR="003B0BB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anos.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Licença de Instalação e Operação – LIO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 LI pode ser convertida em LIO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se a fase de operação do empreendimento corresponder a</w:t>
      </w:r>
      <w:r w:rsidR="003B0B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um potencial poluidor insignificante (definido nas tabelas do capítulo 5 do MN-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050.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R-4), ou no</w:t>
      </w:r>
      <w:r w:rsidR="003B0B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caso de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ampliações ou ajustes em empreendimentos e atividades já implantados e licenciados.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Nesse caso: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atividade: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para implantar e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operar ...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para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implantar e operar unidade de ...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prazo de validade: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no mínimo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4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anos e no máximo 10 anos.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Haverá uma diferença de custo de análise a ser cobrada por meio de GR complementar. O</w:t>
      </w:r>
      <w:r w:rsidR="003B0B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valor será calculado consultando a Tabela 1 da NA-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051.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R-8.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Licença de Operação – LO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atividade: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para realizar a atividade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de ...</w:t>
      </w:r>
      <w:proofErr w:type="gramEnd"/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para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operar ...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prazo de validade: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no mínimo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4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anos e no máximo 10 anos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lastRenderedPageBreak/>
        <w:t>Licença de Operação e Recuperação – LOR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</w:p>
    <w:p w:rsid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A LO pode ser convertida em LOR,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se houver passivo ambiental para ser recuperado, desde</w:t>
      </w:r>
      <w:r w:rsidR="003B0BB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que a operação concomitante à recuperação não ofereça risco à saúde dos empregados ou da</w:t>
      </w:r>
      <w:r w:rsidR="003B0BB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população.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Nesse caso: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atividade: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para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operar </w:t>
      </w:r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>...</w:t>
      </w:r>
      <w:proofErr w:type="gramEnd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(empreendimento)...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e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realizar o programa de remediação da área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contaminada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com ...</w:t>
      </w:r>
    </w:p>
    <w:p w:rsid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prazo de validade: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no mínimo o do cronograma de remediação e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no máximo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6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anos.</w:t>
      </w:r>
    </w:p>
    <w:p w:rsid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Haverá uma diferença de custo de análise a ser cobrada por meio de GR complementar. O</w:t>
      </w:r>
      <w:r w:rsidR="003B0B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valor será calculado consultando a Tabela 1 da NA-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051.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R-8.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Licença Ambiental de Recuperação – LAR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atividade: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para realizar serviços de</w:t>
      </w:r>
      <w:r w:rsidR="003B0BBD">
        <w:rPr>
          <w:rFonts w:ascii="Times New Roman" w:hAnsi="Times New Roman" w:cs="Times New Roman"/>
          <w:color w:val="231F20"/>
          <w:sz w:val="20"/>
          <w:szCs w:val="20"/>
        </w:rPr>
        <w:t xml:space="preserve"> remediação (ou recuperação, ou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descontaminação) da</w:t>
      </w:r>
      <w:r w:rsidR="003B0BB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área ...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prazo de validade: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o do cronograma de realização dos serviços.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Autorização Ambiental – AA</w:t>
      </w:r>
    </w:p>
    <w:p w:rsidR="003B0BBD" w:rsidRPr="003B0BBD" w:rsidRDefault="003B0BB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Documento com prazo de validade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máximo de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2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anos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que autoriza a implantação ou realização</w:t>
      </w:r>
      <w:r w:rsidR="003B0BB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de empreendimentos, atividades, pesquisas e serviços ou para execução de obras</w:t>
      </w:r>
      <w:r w:rsidR="003B0BB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emergenciais de interesse público, estabelecendo condicionantes.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Obs. O prazo de validade pode ser ampliado, com base em justificativa técnica.</w:t>
      </w:r>
    </w:p>
    <w:p w:rsidR="005A1E85" w:rsidRPr="003B0BBD" w:rsidRDefault="005A1E8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A AA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é concedida nas seguintes situações, entre outras:</w:t>
      </w:r>
    </w:p>
    <w:p w:rsidR="005A1E85" w:rsidRPr="003B0BBD" w:rsidRDefault="005A1E8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Perfuração de poços tubulares em </w:t>
      </w:r>
      <w:proofErr w:type="spell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aqüíferos</w:t>
      </w:r>
      <w:proofErr w:type="spell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Incluir no campo atividade: para perfurar um poço tubular (ou X poços tubulares) para extração</w:t>
      </w:r>
      <w:r w:rsidR="005A1E8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de água subterrânea, com a finalidade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de ...</w:t>
      </w:r>
      <w:proofErr w:type="gramEnd"/>
    </w:p>
    <w:p w:rsidR="005A1E85" w:rsidRDefault="005A1E8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A1E85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- Tamponamento de poços tubulares em </w:t>
      </w:r>
      <w:proofErr w:type="spellStart"/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aqüíferos</w:t>
      </w:r>
      <w:proofErr w:type="spellEnd"/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: 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para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o encerramento de poços.</w:t>
      </w:r>
      <w:r w:rsidR="005A1E8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Incluir no campo atividade: para o tamponamento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de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poços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A1E85" w:rsidRPr="003B0BBD" w:rsidRDefault="005A1E8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- Supressão de vegetação nativa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Incluir no campo atividade: para suprimir vegetação nativa por meio de corte, em área total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de</w:t>
      </w:r>
      <w:proofErr w:type="gramEnd"/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...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hectares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...</w:t>
      </w:r>
    </w:p>
    <w:p w:rsidR="005A1E85" w:rsidRPr="003B0BBD" w:rsidRDefault="005A1E8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- Intervenção em Área de Preservação Permanente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Incluir no campo atividade: para realizar intervenções na faixa marginal de proteção do rio...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ou</w:t>
      </w:r>
      <w:proofErr w:type="gramEnd"/>
      <w:r w:rsidR="005A1E8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para realizar intervenções na ...</w:t>
      </w:r>
    </w:p>
    <w:p w:rsidR="005A1E85" w:rsidRPr="003B0BBD" w:rsidRDefault="005A1E8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- Movimentação de resíduos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Incluir no campo atividade: para o recebimento de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resíduos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......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provenientes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de ..........., para</w:t>
      </w:r>
      <w:r w:rsidR="005A1E8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................</w:t>
      </w:r>
    </w:p>
    <w:p w:rsidR="005A1E85" w:rsidRPr="003B0BBD" w:rsidRDefault="005A1E8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- Execução de obras emergenciais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Incluir no campo atividade: para a execução </w:t>
      </w:r>
      <w:r w:rsidR="005A1E85">
        <w:rPr>
          <w:rFonts w:ascii="Times New Roman" w:hAnsi="Times New Roman" w:cs="Times New Roman"/>
          <w:color w:val="000000"/>
          <w:sz w:val="20"/>
          <w:szCs w:val="20"/>
        </w:rPr>
        <w:t xml:space="preserve">de obra </w:t>
      </w:r>
      <w:proofErr w:type="gramStart"/>
      <w:r w:rsidR="005A1E85">
        <w:rPr>
          <w:rFonts w:ascii="Times New Roman" w:hAnsi="Times New Roman" w:cs="Times New Roman"/>
          <w:color w:val="000000"/>
          <w:sz w:val="20"/>
          <w:szCs w:val="20"/>
        </w:rPr>
        <w:t>de ...</w:t>
      </w:r>
      <w:proofErr w:type="gramEnd"/>
      <w:r w:rsidR="005A1E85">
        <w:rPr>
          <w:rFonts w:ascii="Times New Roman" w:hAnsi="Times New Roman" w:cs="Times New Roman"/>
          <w:color w:val="000000"/>
          <w:sz w:val="20"/>
          <w:szCs w:val="20"/>
        </w:rPr>
        <w:t xml:space="preserve">....., de caráter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emergencial, com</w:t>
      </w:r>
      <w:r w:rsidR="005A1E8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vistas a mitigar ou eliminar os riscos .....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5A1E85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Certidão Ambiental – CA</w:t>
      </w:r>
    </w:p>
    <w:p w:rsidR="005A1E85" w:rsidRPr="005A1E85" w:rsidRDefault="005A1E8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Documento sem prazo de validade, emitido nas seguintes situações, entre outras:</w:t>
      </w:r>
    </w:p>
    <w:p w:rsidR="005A1E85" w:rsidRPr="003B0BBD" w:rsidRDefault="005A1E8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Inexigibilidade de licenciamento: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para empreendimentos que não estejam contemplados no</w:t>
      </w:r>
      <w:r w:rsidR="005A1E85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Anexo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1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do Decreto nem em norma do CONEMA ou do INEA; e para aqueles enquadrados na</w:t>
      </w:r>
      <w:r w:rsidR="005A1E85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Classe 1, de acordo com a Tabela 1 do Decreto:</w:t>
      </w:r>
    </w:p>
    <w:p w:rsidR="005A1E85" w:rsidRPr="003B0BBD" w:rsidRDefault="005A1E8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5A1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Tabela 1</w:t>
      </w:r>
    </w:p>
    <w:p w:rsidR="002E0076" w:rsidRPr="003B0BBD" w:rsidRDefault="002E0076" w:rsidP="005A1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Classificação dos empreendimentos/atividades</w:t>
      </w:r>
    </w:p>
    <w:p w:rsidR="002E0076" w:rsidRPr="003B0BBD" w:rsidRDefault="005A1E85" w:rsidP="005A1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231F20"/>
          <w:sz w:val="20"/>
          <w:szCs w:val="20"/>
          <w:lang w:eastAsia="pt-BR"/>
        </w:rPr>
        <w:drawing>
          <wp:inline distT="0" distB="0" distL="0" distR="0">
            <wp:extent cx="4129869" cy="859809"/>
            <wp:effectExtent l="19050" t="0" r="3981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78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lastRenderedPageBreak/>
        <w:t>Os empreendimentos são classificados com base nas tabelas de potencial poluidor e porte que</w:t>
      </w:r>
      <w:r w:rsidR="005A1E85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constam dos capítulos 5 e 6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do </w:t>
      </w:r>
      <w:proofErr w:type="spell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do</w:t>
      </w:r>
      <w:proofErr w:type="spellEnd"/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MN-050.R-4.</w:t>
      </w:r>
    </w:p>
    <w:p w:rsidR="005A1E85" w:rsidRPr="003B0BBD" w:rsidRDefault="005A1E8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Incluir no campo atividade: que atesta a inexigibilidad</w:t>
      </w:r>
      <w:r w:rsidR="005A1E85">
        <w:rPr>
          <w:rFonts w:ascii="Times New Roman" w:hAnsi="Times New Roman" w:cs="Times New Roman"/>
          <w:color w:val="231F20"/>
          <w:sz w:val="20"/>
          <w:szCs w:val="20"/>
        </w:rPr>
        <w:t xml:space="preserve">e de licença ambiental </w:t>
      </w:r>
      <w:proofErr w:type="gramStart"/>
      <w:r w:rsidR="005A1E85">
        <w:rPr>
          <w:rFonts w:ascii="Times New Roman" w:hAnsi="Times New Roman" w:cs="Times New Roman"/>
          <w:color w:val="231F20"/>
          <w:sz w:val="20"/>
          <w:szCs w:val="20"/>
        </w:rPr>
        <w:t>para ...</w:t>
      </w:r>
      <w:proofErr w:type="gramEnd"/>
    </w:p>
    <w:p w:rsidR="005A1E85" w:rsidRPr="003B0BBD" w:rsidRDefault="005A1E8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Incluir no mínimo as seguintes condições de validade:</w:t>
      </w:r>
    </w:p>
    <w:p w:rsidR="002D2F62" w:rsidRDefault="002D2F62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1- Publicar comunicado de recebimento desta certidão no Diário Oficial do Estado do Rio de</w:t>
      </w:r>
      <w:r w:rsidR="002D2F6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Janeiro, no prazo de 30 (trinta) dias a contar da data de sua concessão desta licença, e enviar</w:t>
      </w:r>
      <w:r w:rsidR="002D2F6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cópia da publicação ao INEA.</w:t>
      </w:r>
    </w:p>
    <w:p w:rsidR="002D2F62" w:rsidRPr="003B0BBD" w:rsidRDefault="002D2F62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2- Esta Licença diz respeito aos aspectos ambientais e não exime o empreendedor do</w:t>
      </w:r>
      <w:r w:rsidR="002D2F6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atendimento às demais licenças e autorizações federais, estaduais e municipais exigíveis por</w:t>
      </w:r>
      <w:r w:rsidR="002D2F6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lei.</w:t>
      </w:r>
    </w:p>
    <w:p w:rsidR="002D2F62" w:rsidRDefault="002D2F62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- Uso insignificante de recurso hídrico</w:t>
      </w:r>
    </w:p>
    <w:p w:rsidR="002D2F62" w:rsidRDefault="002D2F62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Incluir no campo atividade: que aprova a captação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de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m³/h de água bruta, em poço tubular,</w:t>
      </w:r>
      <w:r w:rsidR="002D2F6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para uso em ...</w:t>
      </w:r>
    </w:p>
    <w:p w:rsidR="002D2F62" w:rsidRDefault="002D2F62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- Anuência para corte de vegetação exótica</w:t>
      </w:r>
    </w:p>
    <w:p w:rsidR="002D2F62" w:rsidRDefault="002D2F62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Incluir no campo atividade: concordando com a remoção, por meio de corte,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de </w:t>
      </w:r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>...</w:t>
      </w:r>
      <w:proofErr w:type="gramEnd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>.(descrever a</w:t>
      </w:r>
      <w:r w:rsidR="002D2F62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área e o tipo de </w:t>
      </w:r>
      <w:proofErr w:type="spellStart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>vegtação</w:t>
      </w:r>
      <w:proofErr w:type="spellEnd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será removida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)...</w:t>
      </w:r>
    </w:p>
    <w:p w:rsidR="002D2F62" w:rsidRPr="003B0BBD" w:rsidRDefault="002D2F62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Regularidade ambiental: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concedida a empreendimentos que se instalaram sem licença</w:t>
      </w:r>
      <w:r w:rsidR="002D2F62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ambiental em data anterior à entrada em vigor do Decreto, após o cumprimento das obrigações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impostas por notificação ou fixadas em Termo de Ajustamento de Conduta.</w:t>
      </w:r>
    </w:p>
    <w:p w:rsidR="003F55AD" w:rsidRPr="003B0BB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Incluir no campo atividade: que atesta a regularidade ambiental do empreendimento </w:t>
      </w:r>
    </w:p>
    <w:p w:rsidR="003F55AD" w:rsidRPr="003B0BB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Cumprimento de condicionantes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de licenças ou autorizações ambientais.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F55A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Incluir no campo atividade: que atesta o cumprimento das condições de validade da Licença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de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...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......... L... Nº IN (ou FE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)XXXXXX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3F55AD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lastRenderedPageBreak/>
        <w:t>Outorga de Direito de Uso de Recursos Hídricos – OUT</w:t>
      </w:r>
    </w:p>
    <w:p w:rsidR="003F55AD" w:rsidRP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Documento que autoriza o uso de recursos hídricos, superficiais ou subterrâneos, por prazo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determinado, nos termos e condições que especifica.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F55A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3F55AD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Termo de Encerramento – TE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Documento que atesta a inexistência de passivo ambiental que represente risco ao ambiente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ou à saúde da população, quando do encerramento de determinada atividade ou após a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conclusão do procedimento de recuperação mediante LAR, estabelecendo as restrições de uso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da área.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</w:p>
    <w:p w:rsidR="002E0076" w:rsidRPr="003F55A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3F55AD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Documento de Averbação – AVB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Documento que altera dados constantes de licença ou outro documento previsto no SLAM,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quando mantidas inalteradas as caracte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rísticas do empreendimento, nas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seguintes hipóteses:</w:t>
      </w:r>
    </w:p>
    <w:p w:rsidR="003F55AD" w:rsidRPr="003B0BB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- Alteração ou retificação de titularidade;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- Alteração ou retificação do endereço do titular da licença;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- Retificação da atividade, do local da atividade, do código da atividade ou do prazo de validade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do documento expedido (erro material);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- Alteração, inclusão ou exclusão de condições de validade, com base em parecer técnico de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analista ambiental;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- Prorrogação do prazo de validade da licença, nos casos previstos nos artigos 10, parágrafo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único e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11, parágrafo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único, do Decreto nº 42.159, que instituiu o SLAM;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- Alteração da atividade, desde que não altere seu enquadramento na Tabela 1 do Decreto nº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42.159, tampouco altere o escopo da atividade principal nem a descaracterize.</w:t>
      </w:r>
    </w:p>
    <w:p w:rsidR="003F55AD" w:rsidRPr="003B0BB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Acessar Cadastro/Licença/Averbação e digitar a alteração, da seguinte forma: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Fica alterada </w:t>
      </w:r>
      <w:r w:rsidRPr="003B0BBD">
        <w:rPr>
          <w:rFonts w:ascii="Times New Roman" w:hAnsi="Times New Roman" w:cs="Times New Roman"/>
          <w:b/>
          <w:bCs/>
          <w:i/>
          <w:iCs/>
          <w:color w:val="231F20"/>
          <w:sz w:val="20"/>
          <w:szCs w:val="20"/>
        </w:rPr>
        <w:t xml:space="preserve">(ou retificada) 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a titularidade da licença para: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..................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Fica alterado (ou retificado) o endereço do titular da licença para: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......................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lastRenderedPageBreak/>
        <w:t>Fica retificado o endereço da atividade para: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......................</w:t>
      </w:r>
      <w:proofErr w:type="gramEnd"/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Fica alterada (ou retificada) a atividade licenciada para: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..................</w:t>
      </w:r>
      <w:proofErr w:type="gramEnd"/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Fica </w:t>
      </w: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alterada</w:t>
      </w:r>
      <w:proofErr w:type="gramEnd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 a condições de validade nº X para: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X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- ...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...........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Ficam incluídas as seguintes condições de validade: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Y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- ...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.....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Z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- ...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......</w:t>
      </w:r>
    </w:p>
    <w:p w:rsidR="003F55AD" w:rsidRPr="003B0BB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Ficam excluídas as condições de validade nos X e Y.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 alteração do número do Cadastro Nacional da Pessoa Jurídica (CNPJ), não pode ser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efetuada por AVB, uma vez que esse número é a chave de entrada do empreendedor no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Sistema. Nesses casos, é necessário cadastrar o empreendimento no novo CNPJ e submeter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à aprovação do Presidente do INEA o cancelamento da licença anterior e a concessão de uma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nova licença, com as mesmas condicionantes e prazo de validade.</w:t>
      </w:r>
    </w:p>
    <w:p w:rsidR="003F55AD" w:rsidRPr="003B0BB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 averbação de documentos só é possível quando solicitada pelo empreendedor, uma vez que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o documento que está em seu poder terá que ser apresentado ao INEA para ser carimbado,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quando for emitido o AVB.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Caso o INEA julgue necessário promover a inclusão de exigência omitida no documento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concedido, e opondo-se o empreendedor à pretendida averbação, o INEA poderá fazê-lo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cancelando a licença concedida e emitindo uma nova licença, com as alterações necessárias.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Nesse caso é necessário parecer técnico assinado por, no mínimo, dois analistas, e parecer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jurídico quando couber, conforme determina o inciso XIII do art. 1º da Deliberação CECA nº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4.226, de 21/11/02, que regulamenta os casos e as condições em que podem ocorrer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averbações nas licenças ambientais expedidas pelo órgão ambiental estadual.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Parte 2: CONDIÇÕES DE VALIDADE DAS LICENÇAS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lastRenderedPageBreak/>
        <w:t>Todas as licenças ambientais incluem condições de validade gerais e específicas.</w:t>
      </w:r>
    </w:p>
    <w:p w:rsidR="003F55AD" w:rsidRPr="003B0BB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As 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condições de validade gerais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são as três primeiras, obrigatórias, impressas logo abaixo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do local da atividade. No Sistema, essas condicionantes são o 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padrão I1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3F55AD" w:rsidRPr="003B0BB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3F55AD" w:rsidRPr="003F55AD" w:rsidRDefault="003F55AD" w:rsidP="003F5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1-</w:t>
      </w:r>
      <w:r w:rsidR="002E0076" w:rsidRPr="003F55AD">
        <w:rPr>
          <w:rFonts w:ascii="Times New Roman" w:hAnsi="Times New Roman" w:cs="Times New Roman"/>
          <w:color w:val="000000"/>
          <w:sz w:val="20"/>
          <w:szCs w:val="20"/>
        </w:rPr>
        <w:t>Publicar comunicado de recebimento desta licença no Diário Oficial do Estado do Rio de Janeiro e</w:t>
      </w:r>
      <w:r w:rsidRPr="003F5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E0076" w:rsidRPr="003F55AD">
        <w:rPr>
          <w:rFonts w:ascii="Times New Roman" w:hAnsi="Times New Roman" w:cs="Times New Roman"/>
          <w:color w:val="000000"/>
          <w:sz w:val="20"/>
          <w:szCs w:val="20"/>
        </w:rPr>
        <w:t>em jornal diário de grande circulação no Estado, no prazo de 30 (trinta) dias a contar da data de</w:t>
      </w:r>
      <w:r w:rsidRPr="003F5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E0076" w:rsidRPr="003F55AD">
        <w:rPr>
          <w:rFonts w:ascii="Times New Roman" w:hAnsi="Times New Roman" w:cs="Times New Roman"/>
          <w:color w:val="000000"/>
          <w:sz w:val="20"/>
          <w:szCs w:val="20"/>
        </w:rPr>
        <w:t>concessão desta licença, enviando cópias das publicações ao INEA, conforme determina a NA-</w:t>
      </w:r>
      <w:r w:rsidRPr="003F5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2E0076" w:rsidRPr="003F55AD">
        <w:rPr>
          <w:rFonts w:ascii="Times New Roman" w:hAnsi="Times New Roman" w:cs="Times New Roman"/>
          <w:color w:val="000000"/>
          <w:sz w:val="20"/>
          <w:szCs w:val="20"/>
        </w:rPr>
        <w:t>0052.</w:t>
      </w:r>
      <w:proofErr w:type="gramEnd"/>
      <w:r w:rsidR="002E0076" w:rsidRPr="003F55AD">
        <w:rPr>
          <w:rFonts w:ascii="Times New Roman" w:hAnsi="Times New Roman" w:cs="Times New Roman"/>
          <w:color w:val="000000"/>
          <w:sz w:val="20"/>
          <w:szCs w:val="20"/>
        </w:rPr>
        <w:t xml:space="preserve">R-1, aprovada pela Deliberação CECA nº 4.093 de 21.11.01 e publicada no </w:t>
      </w:r>
      <w:proofErr w:type="spellStart"/>
      <w:r w:rsidR="002E0076" w:rsidRPr="003F55AD">
        <w:rPr>
          <w:rFonts w:ascii="Times New Roman" w:hAnsi="Times New Roman" w:cs="Times New Roman"/>
          <w:color w:val="000000"/>
          <w:sz w:val="20"/>
          <w:szCs w:val="20"/>
        </w:rPr>
        <w:t>D.O.R.J.</w:t>
      </w:r>
      <w:proofErr w:type="spellEnd"/>
      <w:r w:rsidR="002E0076" w:rsidRPr="003F5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2E0076" w:rsidRPr="003F55AD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3F5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E0076" w:rsidRPr="003F55AD">
        <w:rPr>
          <w:rFonts w:ascii="Times New Roman" w:hAnsi="Times New Roman" w:cs="Times New Roman"/>
          <w:color w:val="000000"/>
          <w:sz w:val="20"/>
          <w:szCs w:val="20"/>
        </w:rPr>
        <w:t>29.11.01;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2- Esta Licença diz respeito aos aspectos ambientais e não exime o empreendedor do atendimento</w:t>
      </w:r>
      <w:r w:rsidR="003F5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às demais licenças e autorizações federais, estaduais e municipais exigíveis por lei;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3- Esta Licença não poderá sofrer qualquer alteração nem ser plastificada,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sob pena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de perder sua</w:t>
      </w:r>
      <w:r w:rsidR="003F5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validade;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As 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condições de validade específicas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têm características bem diferentes, dependendo da</w:t>
      </w:r>
      <w:r w:rsidR="003F55A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fase do licenciamento.</w:t>
      </w:r>
    </w:p>
    <w:p w:rsidR="003F55AD" w:rsidRPr="003B0BB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F55A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3F55AD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Licença Ambiental Simplificada – LAS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 primeira condicionante específica da LAS deve ser a obrigatoriedade de renovação da</w:t>
      </w:r>
      <w:r w:rsidR="003F5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licença: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4- Requerer a renovação desta licença no mínimo 120 dias antes do vencimento do seu prazo de</w:t>
      </w:r>
      <w:r w:rsidR="003F5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validade;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padrão II7</w:t>
      </w: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)</w:t>
      </w:r>
      <w:proofErr w:type="gramEnd"/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Nos casos em que haverá documentos específicos e informações a serem apresentados na</w:t>
      </w:r>
      <w:r w:rsidR="003F5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ocasião da renovação da licença, incluir:</w:t>
      </w:r>
    </w:p>
    <w:p w:rsidR="003F55AD" w:rsidRDefault="003F55AD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5- Apresentar na ocasião do requerimento de renovação da licença: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-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.......;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-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.......;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padrão II29)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lastRenderedPageBreak/>
        <w:t>Logo a seguir devem ser incluídas as condicionantes que tratam da legislação específica</w:t>
      </w:r>
      <w:r w:rsidR="003F5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aplicável ao empreendimento licenciado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(grupo III dos padrões do Sistema),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ordenadas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segundo algum critério (hierárquico, cronológico, numérico, etc.):</w:t>
      </w:r>
    </w:p>
    <w:p w:rsidR="006707E4" w:rsidRPr="003B0BBD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leis e decretos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normas da CECA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resoluções do CONAMA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normas da ABNT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outros regulamentos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As próximas condicionantes devem ser as que estabelecem prazos para cumprimento de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alguma exigência, inclusive instalação de equipamentos e realização de obras (a LAS pode ser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concedida em qualquer fase do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empreendimento).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Implantar, no prazo de XX dias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,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Remover, no prazo de XX dias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,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Apresentar ao INEA, no prazo de XX dias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,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Em seguida devem ser relacionadas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>s</w:t>
      </w:r>
      <w:proofErr w:type="gramEnd"/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condicionantes que tratam das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determinações a serem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atendidas regularmente, tais como: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Manter os sistemas de controle da poluição do ar e da água em perfeitas condições de operação,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de modo a evitar emissões de material particulado para a atmosfera e lançamento de efluentes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contaminados para o corpo receptor;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II8</w:t>
      </w:r>
      <w:proofErr w:type="gramStart"/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proofErr w:type="gramEnd"/>
    </w:p>
    <w:p w:rsidR="006707E4" w:rsidRPr="003B0BBD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E0076" w:rsidRPr="006707E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Realizar qualquer pintura a pistola dentro de cabine equipada com sistema de controle de poluição;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VI11</w:t>
      </w:r>
      <w:proofErr w:type="gramStart"/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proofErr w:type="gramEnd"/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Promover a limpeza periódica da fossa séptica, utilizando os serviços de empresa licenciada pelo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órgão ambiental estadual para tal atividade, mantendo os comprovantes à disposição da fiscalização;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VII16</w:t>
      </w:r>
      <w:proofErr w:type="gramStart"/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proofErr w:type="gramEnd"/>
    </w:p>
    <w:p w:rsidR="006707E4" w:rsidRPr="003B0BBD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Acondicionar o óleo proveniente do sistema separador água/óleo e os óleos lubrificantes usados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em recipientes dotados de tampa e estocá-los em área abrigada,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lastRenderedPageBreak/>
        <w:t>até o seu recolhimento por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empresas </w:t>
      </w:r>
      <w:proofErr w:type="spell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rerrefinadoras</w:t>
      </w:r>
      <w:proofErr w:type="spell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licenciadas pelo órgão ambiental estadual, mantendo os comprovantes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à</w:t>
      </w:r>
      <w:proofErr w:type="gramEnd"/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disposição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da fiscalização;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IX2)</w:t>
      </w:r>
    </w:p>
    <w:p w:rsidR="006707E4" w:rsidRPr="003B0BBD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No final, devem ser incluídas as seis condicionantes obrigatórias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II26):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Não realizar queima de qualquer material ao ar livre;</w:t>
      </w:r>
    </w:p>
    <w:p w:rsidR="006707E4" w:rsidRPr="006707E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- Evitar todas as formas de acúmulo de água que possam propiciar a proliferação do mosquito </w:t>
      </w:r>
      <w:proofErr w:type="spellStart"/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Aedes</w:t>
      </w:r>
      <w:proofErr w:type="spellEnd"/>
      <w:r w:rsidR="006707E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aegypti</w:t>
      </w:r>
      <w:proofErr w:type="spellEnd"/>
      <w:r w:rsidRPr="003B0BBD">
        <w:rPr>
          <w:rFonts w:ascii="Times New Roman" w:hAnsi="Times New Roman" w:cs="Times New Roman"/>
          <w:color w:val="000000"/>
          <w:sz w:val="20"/>
          <w:szCs w:val="20"/>
        </w:rPr>
        <w:t>, transmissor da dengue;</w:t>
      </w:r>
    </w:p>
    <w:p w:rsidR="006707E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Eliminar métodos de trabalho e ambientes propícios à proliferação de vetores (insetos e roedores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nocivos);</w:t>
      </w:r>
    </w:p>
    <w:p w:rsidR="006707E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Manter atualizados junto ao INEA os dados cadastrais relativos à atividade ora licenciada;</w:t>
      </w:r>
    </w:p>
    <w:p w:rsidR="006707E4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Submeter previamente ao INEA, para análise e parecer, qualquer alteração ou ampliação no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empreendimento licenciado;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O INEA exigirá novas medidas de controle ambiental, sempre que julgar necessário.</w:t>
      </w:r>
    </w:p>
    <w:p w:rsidR="006707E4" w:rsidRPr="003B0BBD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6707E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6707E4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Licença Prévia – LP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Ao redigir as condições de validade de uma LP é importante ter em mente que essa licença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não autoriza qualquer tipo de intervenção no local do empreendimento.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As primeiras condicionantes específicas da LP devem ser:</w:t>
      </w:r>
    </w:p>
    <w:p w:rsidR="006707E4" w:rsidRPr="003B0BBD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4- Não iniciar as obras </w:t>
      </w:r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(ou a implantação do empreendimento)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antes da obtenção da Licença de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Instalação – LI;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II1</w:t>
      </w:r>
      <w:proofErr w:type="gramStart"/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5- Apresentar na ocasião do requerimento de LI: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...........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-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.......;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II3)</w:t>
      </w:r>
    </w:p>
    <w:p w:rsidR="006707E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OBS. Relacionar os projetos e documentos específicos que deverão ser apresentados junto com</w:t>
      </w:r>
      <w:r w:rsidR="006707E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requerimento de LI (não incluir documentos gerais, como contrato social ou CNPJ</w:t>
      </w:r>
      <w:proofErr w:type="gramStart"/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Logo a seguir deve ser incluída a condicionante que trata da legislação específica que deve ser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considerada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II24):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lastRenderedPageBreak/>
        <w:t>6- Considerar na elaboração dos projetos: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-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........;(Lei, Norma, Resolução, etc.)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-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........;(Lei, Norma, Resolução, etc.)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Obs. O texto de cada item deve ser copiado do grupo III dos padrões.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No final, devem ser incluídas as três condicionantes obrigatórias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II28):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7- Manter atualizados junto ao INEA os dados cadastrais relativos à atividade ora licenciada;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8- Submeter previamente ao INEA, para análise e parecer, qualquer alteração ou ampliação no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empreendimento licenciado;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9- O INEA exigirá outras informações, caso julgue necessário.</w:t>
      </w:r>
    </w:p>
    <w:p w:rsidR="002E0076" w:rsidRPr="006707E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2E0076" w:rsidRPr="006707E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6707E4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Licença de Instalação – LI</w:t>
      </w:r>
    </w:p>
    <w:p w:rsidR="002E0076" w:rsidRPr="006707E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6707E4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Licença Prévia e de Instalação </w:t>
      </w:r>
      <w:r w:rsidRPr="006707E4">
        <w:rPr>
          <w:rFonts w:ascii="Times New Roman" w:hAnsi="Times New Roman" w:cs="Times New Roman"/>
          <w:color w:val="231F20"/>
          <w:sz w:val="20"/>
          <w:szCs w:val="20"/>
          <w:u w:val="single"/>
        </w:rPr>
        <w:t xml:space="preserve">– </w:t>
      </w:r>
      <w:r w:rsidRPr="006707E4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LPI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As primeiras condicionantes específicas da LI e da LPI devem ser: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707E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4- Não iniciar as atividades antes da obtenção da Licença de Operação – LO; 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II4)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Nos casos em que houver documentos específicos e informações a serem apresentados na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ocasião do requerimento de LO, incluir: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5- Apresentar na ocasião do requerimento de LO: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-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.......;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-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.......;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II6)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Nas licenças para obras de construção de edificações para uso industrial ou comercial, cuja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operação não é uma atividade </w:t>
      </w:r>
      <w:proofErr w:type="spell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licenciável</w:t>
      </w:r>
      <w:proofErr w:type="spellEnd"/>
      <w:r w:rsidRPr="003B0BBD">
        <w:rPr>
          <w:rFonts w:ascii="Times New Roman" w:hAnsi="Times New Roman" w:cs="Times New Roman"/>
          <w:color w:val="000000"/>
          <w:sz w:val="20"/>
          <w:szCs w:val="20"/>
        </w:rPr>
        <w:t>, as condicionantes acima não devem ser incluídas na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LI ou na LPI. Se o sistema de tratamento de esgoto for </w:t>
      </w:r>
      <w:proofErr w:type="spell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licenciável</w:t>
      </w:r>
      <w:proofErr w:type="spell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(nível secundário), incluir: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4- Requerer Licença de Operação (LO) para o sistema de tratamento de esgoto, no mínimo 120 dias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antes do início de sua operação;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IV8</w:t>
      </w:r>
      <w:proofErr w:type="gramStart"/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lastRenderedPageBreak/>
        <w:t>Ou, no caso de município conveniado, cujo convênio preveja essa atividade: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4- Requerer à Secretaria de Meio Ambiente do Município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d.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.................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Licença de Operação (LO)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para o sistema de tratamento de esgoto, no mínimo 120 dias antes do início de sua operação;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IV10)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Logo a seguir devem ser incluídas as condicionantes que tratam da legislação específica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aplicável ao empreendimento licenciado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(grupo III dos padrões do Sistema),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ordenadas</w:t>
      </w:r>
      <w:r w:rsidR="006707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segundo algum critério (hierárquico, cronológico, numérico, etc.):</w:t>
      </w:r>
    </w:p>
    <w:p w:rsidR="006707E4" w:rsidRPr="003B0BBD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leis e decretos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normas da CECA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resoluções do CONAMA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normas da ABNT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outros regulamentos</w:t>
      </w:r>
    </w:p>
    <w:p w:rsidR="006707E4" w:rsidRDefault="006707E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Em seguida devem ser relacionadas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as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condicionantes que tratam das 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eterminações</w:t>
      </w:r>
      <w:proofErr w:type="spell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a serem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atendidas durante a implantação do empreendimento, tais como:</w:t>
      </w:r>
    </w:p>
    <w:p w:rsidR="00E13004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Implantar o sistema de tratamento de esgoto sanitário do empreendimento de acordo com o projeto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apresentado;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VII1</w:t>
      </w:r>
      <w:proofErr w:type="gramStart"/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Adotar medidas de controle no sentido de evitar a emissão de material particulado para a atmosfera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e de reduzir o nível de ruídos provenientes da execução das obras e do fluxo de veículos;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</w:t>
      </w:r>
      <w:r w:rsidR="00E1300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IV13</w:t>
      </w:r>
      <w:proofErr w:type="gramStart"/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Dispor o material de bota-fora proveniente das obras em local licenciado ou previamente autorizado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pelo INEA;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IV2</w:t>
      </w:r>
      <w:proofErr w:type="gramStart"/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proofErr w:type="gramEnd"/>
    </w:p>
    <w:p w:rsidR="00E13004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No final, devem ser incluídas as seis condicionantes obrigatórias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II25):</w:t>
      </w:r>
    </w:p>
    <w:p w:rsidR="00E13004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Não realizar queima de qualquer material ao ar livre;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- Evitar todas as formas de acúmulo de água que possam propiciar a proliferação do mosquito </w:t>
      </w:r>
      <w:proofErr w:type="spellStart"/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Aedes</w:t>
      </w:r>
      <w:proofErr w:type="spellEnd"/>
      <w:r w:rsidR="00E1300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aegypti</w:t>
      </w:r>
      <w:proofErr w:type="spellEnd"/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transmissor da dengue;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Eliminar métodos de trabalho e ambientes propícios à proliferação de vetores (insetos e roedores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nocivos);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lastRenderedPageBreak/>
        <w:t>- Manter atualizados junto ao INEA os dados cadastrais relativos à atividade ora licenciada;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Submeter previamente ao INEA, para análise e parecer, qualquer alteração no projeto;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O INEA exigirá novas medidas de controle ambiental, sempre que julgar necessário.</w:t>
      </w:r>
    </w:p>
    <w:p w:rsidR="002E0076" w:rsidRPr="00E1300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2E0076" w:rsidRPr="00E1300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E13004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Licença de Operação – LO</w:t>
      </w:r>
    </w:p>
    <w:p w:rsidR="002E0076" w:rsidRPr="00E13004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E13004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Licença de Instalação e Operação – LIO</w:t>
      </w:r>
    </w:p>
    <w:p w:rsidR="00E13004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 primeira condicionante específica da LO e da LIO deve ser:</w:t>
      </w:r>
    </w:p>
    <w:p w:rsidR="00E13004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4- Requerer a renovação desta licença no mínimo 120 dias antes do vencimento do seu prazo de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validade;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padrão II7</w:t>
      </w: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)</w:t>
      </w:r>
      <w:proofErr w:type="gramEnd"/>
    </w:p>
    <w:p w:rsidR="00E13004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Ou, no caso de município conveniado, cujo convênio preveja essa atividade:</w:t>
      </w:r>
    </w:p>
    <w:p w:rsidR="00E13004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4- Requerer à Secretaria de Meio Ambiente do Município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d.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 w:rsidRPr="003B0BBD">
        <w:rPr>
          <w:rFonts w:ascii="Times New Roman" w:hAnsi="Times New Roman" w:cs="Times New Roman"/>
          <w:color w:val="0000FF"/>
          <w:sz w:val="20"/>
          <w:szCs w:val="20"/>
        </w:rPr>
        <w:t>.................</w:t>
      </w:r>
      <w:proofErr w:type="gramEnd"/>
      <w:r w:rsidRPr="003B0BBD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a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renovação desta licença,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no mínimo 120 dias antes do vencimento do seu prazo de validade;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padrão II12)</w:t>
      </w:r>
    </w:p>
    <w:p w:rsidR="00E13004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Nos casos em que houver documentos específicos e informações a serem apresentados na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ocasião da renovação da licença (no INEA ou em município conveniado), incluir:</w:t>
      </w:r>
    </w:p>
    <w:p w:rsidR="00E13004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5- Apresentar na ocasião do requerimento de renovação da licença: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-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.......;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-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.......;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padrão II29)</w:t>
      </w:r>
    </w:p>
    <w:p w:rsidR="00E13004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Logo a seguir devem ser incluídas as condicionantes que tratam da legislação específica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aplicável ao empreendimento licenciado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(grupo III dos padrões do Sistema),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ordenadas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segundo algum critério (hierárquico, cronológico, numérico, etc.):</w:t>
      </w:r>
    </w:p>
    <w:p w:rsidR="00E13004" w:rsidRPr="003B0BBD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leis e decretos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normas da CECA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lastRenderedPageBreak/>
        <w:t>- resoluções do CONAMA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normas da ABNT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outros regulamentos</w:t>
      </w:r>
    </w:p>
    <w:p w:rsidR="00E13004" w:rsidRPr="003B0BBD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Para LIO, as próximas condicionantes devem ser as que estabelecem prazos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para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cumprimento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de alguma exigência, inclusive instalação de equipamentos e 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r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ealização de obras.</w:t>
      </w:r>
    </w:p>
    <w:p w:rsidR="00E13004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Implantar, no prazo de XX dias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,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Remover, no prazo de XX dias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,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Apresentar ao INEA, no prazo de XX dias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,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</w:t>
      </w:r>
    </w:p>
    <w:p w:rsidR="00E13004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Em seguida devem ser relacionadas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as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condicionantes que tratam das determinações a serem</w:t>
      </w:r>
      <w:r w:rsidR="00E1300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atendidas regularmente, tais como:</w:t>
      </w:r>
    </w:p>
    <w:p w:rsidR="00E13004" w:rsidRPr="003B0BBD" w:rsidRDefault="00E13004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Promover a limpeza periódica da fossa séptica, utilizando os serviços de empresa licenciada pelo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órgão ambiental estadual para tal atividade, mantendo os comprovantes à disposição da fiscalização;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VII16</w:t>
      </w:r>
      <w:proofErr w:type="gramStart"/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  <w:proofErr w:type="gramEnd"/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Acondicionar os resíduos sólidos urbanos em sacos plásticos e conservá-los em recipiente com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tampa até o seu recolhimento por empresa licenciada pelo órgão ambiental estadual;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(padrão </w:t>
      </w:r>
      <w:proofErr w:type="gramStart"/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X3)</w:t>
      </w:r>
      <w:proofErr w:type="gramEnd"/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No final, devem ser incluídas as seis condicionantes obrigatórias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(padrão II26):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Não realizar queima de qualquer material ao ar livre;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- Evitar todas as formas de acúmulo de água que possam propiciar a proliferação do mosquito </w:t>
      </w:r>
      <w:proofErr w:type="spellStart"/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Aedes</w:t>
      </w:r>
      <w:proofErr w:type="spellEnd"/>
      <w:r w:rsidR="0077037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aegypti</w:t>
      </w:r>
      <w:proofErr w:type="spellEnd"/>
      <w:r w:rsidRPr="003B0BBD">
        <w:rPr>
          <w:rFonts w:ascii="Times New Roman" w:hAnsi="Times New Roman" w:cs="Times New Roman"/>
          <w:color w:val="000000"/>
          <w:sz w:val="20"/>
          <w:szCs w:val="20"/>
        </w:rPr>
        <w:t>, transmissor da dengue;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Eliminar métodos de trabalho e ambientes propícios à proliferação de vetores (insetos e roedores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nocivos);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Manter atualizados junto ao INEA os dados cadastrais relativos à atividade ora licenciada;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Submeter previamente ao INEA, para análise e parecer, qualquer alteração ou ampliação no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empreendimento licenciado;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O INEA exigirá novas medidas de controle ambiental, sempre que julgar necessário.</w:t>
      </w:r>
    </w:p>
    <w:p w:rsidR="002E0076" w:rsidRPr="0077037C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77037C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Licença de Operação e Recuperação – LOR</w:t>
      </w:r>
    </w:p>
    <w:p w:rsidR="0077037C" w:rsidRP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 principal aplicação da LOR será em postos de combustíveis. Existe no Sistema um padrão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com 33 condicionantes, para LO de postos. Para LOR pode ser usado esse padrão, com as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seguintes alterações: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_ substituir a condicionante nº 4 por: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4- Requerer ao INEA a Licença Ambiental Simplificada, no mínimo 120 dias antes do vencimento do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prazo de validade desta LOR;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_ incluir uma condicionante antes da nº 13: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- Realizar o programa de remediação da área contaminada de acordo com o cronograma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a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presentado;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_ compatibilizar o texto da condicionante nº 16 com o que estiver previsto no programa de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remediação:</w:t>
      </w:r>
    </w:p>
    <w:p w:rsidR="0077037C" w:rsidRPr="003B0BBD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Apresentar </w:t>
      </w:r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>...</w:t>
      </w:r>
      <w:proofErr w:type="gramEnd"/>
      <w:r w:rsidRPr="003B0BB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frequência...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ao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INEA relatórios com os resultados ....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Parte 3: PROCEDIMENTOS DO SISTEMA DE LICENCIAMENTO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 emissão dos documentos previstos no Decreto nº 42.159, que instituiu o SLAM, segue as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seguintes etapas: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</w:p>
    <w:p w:rsidR="002E0076" w:rsidRPr="0077037C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77037C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Cadastramento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O cadastro de um empreendimento prevê campos para o registro de quatro endereços: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Endereço da empresa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– igual ao do CNPJ. Nos casos em que o requerente é pessoa física,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este campo deve conter o endereço da residência, comprovado na documentação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apresentada. Este é o endereço do requerente que será impresso na licença, autorização,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certidão e outros.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lastRenderedPageBreak/>
        <w:t xml:space="preserve">- Endereço de correspondência da empresa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– qualquer endereço informado pelo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requerente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, para onde o INEA deve enviar correspondência. Pode ser usado, por exemplo, na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etiqueta de um envelope de notificação.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77037C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Endereço da atividade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– local onde será implantado ou operado o empreendimento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licenciado. Este endereço é impresso na licença, autorização, certidão e outros, logo abaixo da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descrição do objeto da licença, e também em notificações e autos de constatação.</w:t>
      </w:r>
    </w:p>
    <w:p w:rsidR="0077037C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Para empreendimentos lineares que cortam mais de um município, é necessário cadastrar no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Sistema o conjunto de municípios (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em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Licenciamento/Manutenção/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Endereços/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Bairro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).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Ex: Cadastra-se um município com o nome de "SÃO 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>G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ONÇALO E ITABORAÍ".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No caso de transportadoras que não realizam outra atividade </w:t>
      </w:r>
      <w:proofErr w:type="spell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licenciável</w:t>
      </w:r>
      <w:proofErr w:type="spell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no Estado, esse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endereço deve ser: TODO O TERRITÓRIO DO ESTADO – bairro VÁRIOS BAIRROS –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município TODOS.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Endereço de correspondência da unidade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– endereço da empresa ou pessoa física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indicada pelo requerente para representá-lo junto ao INEA em determinado empreendimento.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77037C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- Código da atividade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– no caso de processos de licenciamento, os códigos estão nas tabelas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do Capítulo 5 do MN-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050.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R-4; se não houver um código exato,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adotar código de atividade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similar com mesmo potencial poluidor, como previsto no item 4.1 daquela norma.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Para cadastrar empreendimentos que serão objeto de autorizações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e certidões, nem sempre o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MN-050 dispõe de códigos apropriados. Deverão ser usados os seguintes códigos especiais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disponíveis no Sistema: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90.10.01 - Atividade não </w:t>
      </w:r>
      <w:proofErr w:type="spell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Licenciável</w:t>
      </w:r>
      <w:proofErr w:type="spell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90.10.02 - Supressão de Vegetação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90.10.03 - Faixa Marginal de Proteção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90.10.04 - Autorizações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90.10.05 - Certidões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O código da atividade deve ser anotado no formulário de requerimento.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77037C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77037C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lastRenderedPageBreak/>
        <w:t>Emissão de GR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Após cadastrar o empreendimento, deve ser emitida a Guia de Recolhimento (GR) referente </w:t>
      </w:r>
      <w:proofErr w:type="spell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aocusto</w:t>
      </w:r>
      <w:proofErr w:type="spell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de análise do requerimento. Para tanto, acessar Licenciamento/Cadastro/Guia </w:t>
      </w:r>
      <w:proofErr w:type="spellStart"/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deRecolhimento</w:t>
      </w:r>
      <w:proofErr w:type="spellEnd"/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/Guia Única. Selecionar a atividade e preencher os dados do empreendimento </w:t>
      </w:r>
      <w:proofErr w:type="spell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natela</w:t>
      </w:r>
      <w:proofErr w:type="spell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 GR é emitida e entregue ao requerente. Quando este retorna com o comprovante de</w:t>
      </w:r>
      <w:r w:rsidR="007703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pagamento, é constituído o processo administrativo.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77037C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77037C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Abertura de processo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No módulo de Controle de Processo e Parecer, selecionar Processo/Cadastro/Criar Processo</w:t>
      </w:r>
      <w:r w:rsidR="0077037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Interno. Preencher o campo Observação com o assunto (ex. Requerimento de Licença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de ...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).</w:t>
      </w:r>
    </w:p>
    <w:p w:rsidR="0077037C" w:rsidRDefault="0077037C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Em Documento gerador, selecionar: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Tipo: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05 – Requerimento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Número: número da autorização do servidor (20)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Setor: Diretoria, Superintendência, Coordenação ou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Gerência</w:t>
      </w:r>
      <w:proofErr w:type="gramEnd"/>
    </w:p>
    <w:p w:rsidR="00F27470" w:rsidRDefault="00F27470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Em Dados Cadastrais, clicar na lupa de Descrição e em Pesquisar, para selecionar o assunto</w:t>
      </w:r>
      <w:r w:rsidR="00F27470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que melhor se aplica (os novos documentos do SLAM ainda não estão cadastrados no</w:t>
      </w:r>
      <w:r w:rsidR="00F27470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sistema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)</w:t>
      </w:r>
      <w:proofErr w:type="gramEnd"/>
    </w:p>
    <w:p w:rsidR="00F27470" w:rsidRDefault="00F27470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Em Interessado, clicar na lupa de Nome Empresarial, digitar o número do CNPJ ou CPF do</w:t>
      </w:r>
      <w:r w:rsidR="00F27470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requerente e pesquisar se já é cadastrado. Se não for, clicar em Nova Atividade e preencher.</w:t>
      </w:r>
    </w:p>
    <w:p w:rsidR="00F27470" w:rsidRDefault="00F27470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Em Palavra Chave, digitar o número do CNPJ ou CPF.</w:t>
      </w:r>
    </w:p>
    <w:p w:rsidR="00F27470" w:rsidRDefault="00F27470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F27470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Clicar em Continuar e preencher a nova tela com os seguintes dados:</w:t>
      </w:r>
    </w:p>
    <w:p w:rsidR="00F27470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Setor: INEA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Despacho Padrão: Para análise e elaboração de parecer técnico</w:t>
      </w:r>
    </w:p>
    <w:p w:rsidR="00F27470" w:rsidRDefault="00F27470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Ao clicar em SALVAR, o sistema gera o número do processo formado.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lastRenderedPageBreak/>
        <w:t>O processo físico deve ser iniciado com o requerimento, seguido da GR paga e depois os</w:t>
      </w:r>
      <w:r w:rsidR="00F27470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documentos entregues.</w:t>
      </w:r>
    </w:p>
    <w:p w:rsidR="00F27470" w:rsidRDefault="00F27470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O conteúdo do CD deve ser copiado para o Sistema, anexando cada arquivo da mesma forma</w:t>
      </w:r>
      <w:r w:rsidR="00F27470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que são anexados os pareceres técnicos. O CD deve ser juntado ao processo em um envelope</w:t>
      </w:r>
      <w:r w:rsidR="00F27470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de plástico, preso como folha de processo. Não deve ser preso à contracapa, para não se</w:t>
      </w:r>
      <w:r w:rsidR="00F27470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soltar e ser perdido.</w:t>
      </w:r>
    </w:p>
    <w:p w:rsidR="00F27470" w:rsidRDefault="00F27470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Pr="00F27470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F27470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Vinculação do processo</w:t>
      </w:r>
    </w:p>
    <w:p w:rsidR="00F27470" w:rsidRDefault="00F27470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Para que o processo possa tramitar no Sistema de Licenciamento, é necessário vinculá-lo à</w:t>
      </w:r>
      <w:r w:rsidR="00F2747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GR, em Cadastro/Processo/Vincular Processo. Após preencher o número do processo, é</w:t>
      </w:r>
      <w:r w:rsidR="00F2747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necessário selecionar a GR que corresponde ao empreendimento para o qual está sendo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requerido o documento do SLAM.</w:t>
      </w:r>
    </w:p>
    <w:p w:rsidR="00B22AFE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Para empreendimentos novos, clicar no botão Adicionar Unidade, preencher o campo da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descrição de forma sucinta e clicar em Incluir. Aparece na tela o número da nova UN, que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identifica a unidade para a qual está sendo requerido o documento. Esse número deve ser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registrado no formulário de requerimento (folha 02 do processo).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Quando se tratar de </w:t>
      </w:r>
      <w:r w:rsidRPr="003B0B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renovação de licença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, em lugar de clicar em Adicionar Unidade,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seleciona-se a unidade correspondente rolando a lista de unidades na parte inferior da tela.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Neste caso, é necessário marcar Renovação da Licença, ao lado do campo Tipo da Licença.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Se o processo não aparecer para vinculação, é necessário alterar o processo, no módulo de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Controle de Processo e Parecer, em Processo/Cadastro/Alterar Processo. Para tanto, clicar na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lupa ao lado de Nome Empresarial, digitar os dados do empreendimento e selecioná-lo. Em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seguida, excluir o conteúdo do campo Nome do Interessado e salvar.</w:t>
      </w:r>
    </w:p>
    <w:p w:rsidR="00B22AFE" w:rsidRPr="00B22AFE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2E0076" w:rsidRPr="00B22AFE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B22AFE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Vistoria e relatório de vistoria</w:t>
      </w:r>
    </w:p>
    <w:p w:rsidR="00B22AFE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As vistorias e relatórios de vistoria devem ser registrados no Sistema de Licenciamento.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Para agendar vistoria, acessar Cadastro/Vistoria/Agendamento.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lastRenderedPageBreak/>
        <w:t>Para emitir o relatório de vistoria, acessar Cadastro/Vistoria/Relatório de Vistoria.</w:t>
      </w:r>
    </w:p>
    <w:p w:rsidR="00B22AFE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</w:p>
    <w:p w:rsidR="002E0076" w:rsidRPr="00B22AFE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B22AFE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Parecer técnico</w:t>
      </w:r>
    </w:p>
    <w:p w:rsidR="00B22AFE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O parecer técnico para emissão dos documentos do SLAM deve ser anexado ao Sistema de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Licenciamento. Para tanto, acessar o módulo de Controle de Processo e Parecer, clicar em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Parecer e adicionar o arquivo com o parecer.</w:t>
      </w:r>
    </w:p>
    <w:p w:rsidR="002E0076" w:rsidRPr="00B22AFE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B22AFE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Objeto e condições de validade da licença</w:t>
      </w:r>
    </w:p>
    <w:p w:rsidR="00B22AFE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O conteúdo do item RESTRIÇÕES E CONDIÇÕES DE VALIDADE do parecer técnico, bem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como o OBJETO DA LICENÇA (descrição do empreendimento ou atividade que está sendo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licenciado), devem ser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copiado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para o Sistema de Licenciamento, acessando Condições de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Validade/Emissão. O laudo deve ser fechado pelo técnico e aprovado pelo chefe imediato.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Este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, se quiser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promover alterações na descrição do objeto da licença e nas condicionantes,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deve registrá-las no despacho de tramitação do processo, já que o Sistema não prevê um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campo específico para tal.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Quando o Diretor ou Superintendente aprova o laudo, pode promover alterações na descrição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do objeto da licença e nas condicionantes inseridas no Sistema pelo analista, inclusive as que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foram propostas pelo chefe imediato. O objeto e as condicionantes que constarão da licença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que será emitida devem ser digitados na parte inferior da tela do Sistema de Licenciamento (ou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copiadas do arquivo do despacho de tramitação do processo).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B22AFE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B22AFE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Emissão do documento</w:t>
      </w:r>
    </w:p>
    <w:p w:rsidR="00B22AFE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B22AFE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Após a aprovação do laudo por Diretor ou Superintendente, o documento pode ser emitido. Ao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acessar Cadastro/Licença/Emitir pela primeira vez para determinado processo, é necessário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clicar na lupa ao lado do campo "Número do Processo". Uma vez iniciada a etapa de emissão,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para acessar o processo novamente deve-se clicar em Pesquisar, na barra de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menu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, e não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mais na lupa.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Ao acessar o processo, surge uma tela com o campo de atividade e as condicionantes da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licença. Nesse momento devem ser feitas as alterações na descrição da atividade (objeto da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licença) e a formatação das condicionantes. O padrão é alinhamento justificado e somente as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três primeiras condicionantes na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lastRenderedPageBreak/>
        <w:t>primeira página. Após cada alteração, é necessário clicar em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Salvar, na barra de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menu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Enquanto estão sendo feitos ajustes no documento, para visualizá-lo deve-se clicar em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Rascunho, na barra de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menu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. O documento será exibido em </w:t>
      </w:r>
      <w:proofErr w:type="spell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pdf</w:t>
      </w:r>
      <w:proofErr w:type="spellEnd"/>
      <w:r w:rsidRPr="003B0BBD">
        <w:rPr>
          <w:rFonts w:ascii="Times New Roman" w:hAnsi="Times New Roman" w:cs="Times New Roman"/>
          <w:color w:val="231F20"/>
          <w:sz w:val="20"/>
          <w:szCs w:val="20"/>
        </w:rPr>
        <w:t>, ainda sem data, prazo de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validade e nome do servidor – Presidente, Diretor ou Superintendente – que irá assiná-lo. Esse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procedimento permite verificar se a formatação das condicionantes está correta. Estas não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devem sofrer "quebras", de uma página para outra. Se isso estiver ocorrendo,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deve-se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inserir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linhas vazias (pular linhas), até que a condicionante passe inteiramente para a página seguinte.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O mesmo procedimento se aplica à primeira página, para que ali apareçam somente as três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primeiras </w:t>
      </w:r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(padrão I1 – OBRIGATÓRIAS INICIAIS).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 visualização do documento no modo Rascunho permite verificar se o endereço do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empreendedor, o endereço do empreendimento e o código de atividade que foram cadastrados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inicialmente estão corretos. Recomenda-se imprimir esse arquivo no modo Rascunho, para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conferi-lo cuidadosamente. Se houver necessidade de corrigir o endereço do empreendedor é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necessário acessar Cadastro/Cadastro de Empresa/Alterar Empresa. Para alterar o endereço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do empreendimento ou o código de atividade, acessar Cadastro/Cadastro de Empresa/Alterar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Unidade.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Quando o documento está pronto para ser emitido, clica-se em Imprimir, na barra de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menu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, e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aparece uma tela para inserção do prazo de validade do documento e, em seguida, uma tela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para seleção do nome do servidor que vai assiná-lo. A imagem da licença aparece então tal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qual será impressa. Se necessário, ainda podem ser feitas alterações no documento, mas a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partir do momento em que se prepara o documento para a impressão, só é possível acessá-lo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clicando em Cadastro/Licença/Deferir/Indeferir.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B22AFE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Feitas as últimas alterações, procede-se então à impressão do documento no papel definitivo,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na modalidade frente e verso, se a impressora dispuser desse recurso. Caso contrário,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adicionar uma folha do papel e imprimir a página 1, inverter a folha e imprimir a página 2,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adicionar uma nova folha e imprimir a página 3, e assim sucessivamente.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lastRenderedPageBreak/>
        <w:t xml:space="preserve">Na impressão dos documentos do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SLAM ,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deve ser observada a seguinte convenção de cores: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verde</w:t>
      </w:r>
      <w:proofErr w:type="gramEnd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LAS, LO, LIO e LOR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azul</w:t>
      </w:r>
      <w:proofErr w:type="gramEnd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LI, LPI e LAR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amarelo</w:t>
      </w:r>
      <w:proofErr w:type="gramEnd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LP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rosa</w:t>
      </w:r>
      <w:proofErr w:type="gramEnd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AA, CA, OUT e TE</w:t>
      </w:r>
    </w:p>
    <w:p w:rsidR="00B22AFE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As averbações são da mesma cor do documento que está sendo averbado.</w:t>
      </w:r>
    </w:p>
    <w:p w:rsidR="00B22AFE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Se o documento ocupa mais de uma folha (três páginas ou mais), a numeração impressa no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verso dessas folhas deve ser sequencial. Isso significa que, em caso de erro na impressão,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não se pode reimprimir apenas a folha onde ocorreu o erro; é necessário reimprimir 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documento todo e inutilizar as folhas anteriores. As folhas inutilizadas não podem ser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descartadas. Estas recebem uma tarja impressa "INUTILIZADA" e são encaminhadas à DILAM,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para prestação de contas à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End"/>
      <w:r w:rsidR="00B22AFE">
        <w:rPr>
          <w:rFonts w:ascii="Times New Roman" w:hAnsi="Times New Roman" w:cs="Times New Roman"/>
          <w:color w:val="231F20"/>
          <w:sz w:val="20"/>
          <w:szCs w:val="20"/>
        </w:rPr>
        <w:t>D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IAFI.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Após a assinatura do documento, este deve ser deferido no Sistema, clicando no botão Deferir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que existe abaixo da tela onde aparecem as condições de validade e preenchendo os números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impressos no verso das folhas. A partir desse momento, não se pode mais alterar 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documento.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Antes de entregar o documento ao requerente, é necessário tirar duas cópias (frente e verso,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para aparecer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a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numeração das folhas), uma para juntar ao processo e outra para enviar ao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arquivo cronológico da Central de Atendimento.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B22AFE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B22AFE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Gabaritos de publicação</w:t>
      </w:r>
    </w:p>
    <w:p w:rsidR="00B22AFE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As licenças devem ser publicadas tanto no Diário Oficial quanto em jornal de grande circulação.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As outorgas e certidões de inexigibilidade também devem ser publicadas no Diário Oficial.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Os</w:t>
      </w:r>
      <w:r w:rsidR="00B22A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outros documentos do SLAM são publicados pela GEIAT no Boletim de Serviço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, no portal do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INEA.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O gabarito para publicação é gerado pelo Sistema, acessando-se Licenciamento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de</w:t>
      </w:r>
      <w:proofErr w:type="gramEnd"/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lastRenderedPageBreak/>
        <w:t>Atividades/Cadastro/Gabarito. Preenchido o número do processo, selecionar "concessão de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licença" em Tipo de Gabarito. É necessário conferir o texto que surge na tela, para verificar se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está correto, antes de emitir o gabarito. Depois de conferido, copiar esse texto para um arquivo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em Word, para enviá-lo posteriormente à Imprensa Oficial.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Ao clicar em "periódico", no canto superior da tela, surge o gabarito para impressão. Antes de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imprimi-lo, copiar o cabeçalho para o arquivo em Word onde já foi copiado o texto. Em seguida,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imprimir o gabarito do periódico.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Antes de preparar o gabarito do Diário Oficial, formatar o arquivo em Word para fonte </w:t>
      </w:r>
      <w:proofErr w:type="spell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Arial</w:t>
      </w:r>
      <w:proofErr w:type="spell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gram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7</w:t>
      </w:r>
      <w:proofErr w:type="gramEnd"/>
      <w:r w:rsidRPr="003B0BBD">
        <w:rPr>
          <w:rFonts w:ascii="Times New Roman" w:hAnsi="Times New Roman" w:cs="Times New Roman"/>
          <w:color w:val="231F20"/>
          <w:sz w:val="20"/>
          <w:szCs w:val="20"/>
        </w:rPr>
        <w:t>,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cabeçalho centralizado e texto justificado. Substituir caracteres especiais (exemplo: &amp;) e salvar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o arquivo com extensão </w:t>
      </w:r>
      <w:proofErr w:type="spell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rtf</w:t>
      </w:r>
      <w:proofErr w:type="spellEnd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>(</w:t>
      </w:r>
      <w:proofErr w:type="spellStart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>rich</w:t>
      </w:r>
      <w:proofErr w:type="spellEnd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</w:t>
      </w:r>
      <w:proofErr w:type="spellStart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>text</w:t>
      </w:r>
      <w:proofErr w:type="spellEnd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</w:t>
      </w:r>
      <w:proofErr w:type="spellStart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>format</w:t>
      </w:r>
      <w:proofErr w:type="spellEnd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>).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Para gerar o gabarito do Diário Oficial </w:t>
      </w:r>
      <w:proofErr w:type="spellStart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>on</w:t>
      </w:r>
      <w:proofErr w:type="spellEnd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 </w:t>
      </w:r>
      <w:proofErr w:type="spellStart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>line</w:t>
      </w:r>
      <w:proofErr w:type="spellEnd"/>
      <w:r w:rsidRPr="003B0BBD"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,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é necessário ser cadastrado no site da Imprensa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Oficial (www.imprensaoficial.rj.gov.br) e ter um arquivo denominado "</w:t>
      </w:r>
      <w:proofErr w:type="spell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certstore</w:t>
      </w:r>
      <w:proofErr w:type="spellEnd"/>
      <w:r w:rsidRPr="003B0BBD">
        <w:rPr>
          <w:rFonts w:ascii="Times New Roman" w:hAnsi="Times New Roman" w:cs="Times New Roman"/>
          <w:color w:val="231F20"/>
          <w:sz w:val="20"/>
          <w:szCs w:val="20"/>
        </w:rPr>
        <w:t>" arquivado no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seu computador.</w:t>
      </w:r>
    </w:p>
    <w:p w:rsidR="00B22AFE" w:rsidRPr="003B0BBD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Acessando o site, preencher o nome do usuário e a senha e, em seguida, clicar em Enviar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Matérias e preencher: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forma</w:t>
      </w:r>
      <w:proofErr w:type="gramEnd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 de pagamento: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balcão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jornal</w:t>
      </w:r>
      <w:proofErr w:type="gramEnd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Parte V (publicações a pedido)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data</w:t>
      </w:r>
      <w:proofErr w:type="gramEnd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qualquer data a partir do dia seguinte (essa data não importa, porque pode ser alterada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no balcão da Imprensa Oficial onde será feita a publicação)</w:t>
      </w:r>
    </w:p>
    <w:p w:rsidR="00B22AFE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Adicionar o arquivo </w:t>
      </w:r>
      <w:proofErr w:type="spell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rtf</w:t>
      </w:r>
      <w:proofErr w:type="spellEnd"/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 preparado e selecionar: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tipo</w:t>
      </w:r>
      <w:proofErr w:type="gramEnd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concessão de licença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órgão</w:t>
      </w:r>
      <w:proofErr w:type="gramEnd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publicações a pedido/avisos, editais e termos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>visualização</w:t>
      </w:r>
      <w:proofErr w:type="gramEnd"/>
      <w:r w:rsidRPr="003B0BBD">
        <w:rPr>
          <w:rFonts w:ascii="Times New Roman" w:hAnsi="Times New Roman" w:cs="Times New Roman"/>
          <w:b/>
          <w:bCs/>
          <w:color w:val="231F20"/>
          <w:sz w:val="20"/>
          <w:szCs w:val="20"/>
        </w:rPr>
        <w:t xml:space="preserve">: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se aparecer o gabarito corretamente, clicar em Aceito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t>Em seguida, clicar no botão Prosseguir, preencher a senha (a última que foi gerada) e 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caminho para o arquivo "</w:t>
      </w:r>
      <w:proofErr w:type="spellStart"/>
      <w:r w:rsidRPr="003B0BBD">
        <w:rPr>
          <w:rFonts w:ascii="Times New Roman" w:hAnsi="Times New Roman" w:cs="Times New Roman"/>
          <w:color w:val="231F20"/>
          <w:sz w:val="20"/>
          <w:szCs w:val="20"/>
        </w:rPr>
        <w:t>certstore</w:t>
      </w:r>
      <w:proofErr w:type="spellEnd"/>
      <w:r w:rsidRPr="003B0BBD">
        <w:rPr>
          <w:rFonts w:ascii="Times New Roman" w:hAnsi="Times New Roman" w:cs="Times New Roman"/>
          <w:color w:val="231F20"/>
          <w:sz w:val="20"/>
          <w:szCs w:val="20"/>
        </w:rPr>
        <w:t>" arquivado no seu computador. Ao clicar em Transmitir,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aparece uma tela onde deve ser digitado o nome do requerente. Selecionar o local de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publicação como Imprensa Oficial e clicar em Continuar. Aparece um ofício, que deve ser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impresso.</w:t>
      </w:r>
    </w:p>
    <w:p w:rsidR="00B22AFE" w:rsidRDefault="00B22AFE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231F20"/>
          <w:sz w:val="20"/>
          <w:szCs w:val="20"/>
        </w:rPr>
        <w:lastRenderedPageBreak/>
        <w:t>Os gabaritos para publicação no Boletim do INEA, que consistem em um resumo do</w:t>
      </w:r>
      <w:r w:rsidR="00B22AFE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>documento emitido (ver modelos abaixo), devem ser enviados à GEIAT por e-mail</w:t>
      </w:r>
      <w:r w:rsidR="00F36935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231F20"/>
          <w:sz w:val="20"/>
          <w:szCs w:val="20"/>
        </w:rPr>
        <w:t xml:space="preserve">(provisoriamente: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taniamol@gmail.com).</w:t>
      </w:r>
    </w:p>
    <w:p w:rsidR="00F36935" w:rsidRDefault="00F3693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Ato do Superintendente da SUP...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–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/.../...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Processo E-07/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...........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–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(nome do requerente)...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CNPJ (ou CPF):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..........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AUTORIZAÇÃO AMBIENTAL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Autorizada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...(texto copiado do documento emitido)........</w:t>
      </w:r>
    </w:p>
    <w:p w:rsidR="00F36935" w:rsidRDefault="00F3693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Ato do Superintendente da SUP...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–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/.../...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Processo E-07/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...........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–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(nome do requerente)...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CNPJ (ou CPF):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..........</w:t>
      </w:r>
      <w:proofErr w:type="gramEnd"/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CERTIDÃO AMBIENTAL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Aprovada (ou Comprovada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) ...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>...(texto copiado do documento emitido).......</w:t>
      </w: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F36935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F36935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Entrega do documento</w:t>
      </w:r>
    </w:p>
    <w:p w:rsidR="00F36935" w:rsidRDefault="00F3693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Na ocasião da entrega de documentos do SLAM, o requerente ou seu representante autorizado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e identificado assina o formulário de recebimento, o qual é juntado ao processo.</w:t>
      </w:r>
    </w:p>
    <w:p w:rsidR="00F36935" w:rsidRDefault="00F3693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Junto com as licenças,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são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entregues o gabarito para publicação em jornal, o ofício da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Imprensa Oficial e as instruções para publicação.</w:t>
      </w:r>
    </w:p>
    <w:p w:rsidR="00F36935" w:rsidRDefault="00F3693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Junto com as certidões de inexigibilidade de licença e outorgas, é entregue o ofício da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Imprensa Oficial, para publicação.</w:t>
      </w:r>
    </w:p>
    <w:p w:rsidR="00F36935" w:rsidRDefault="00F3693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Os demais documentos só devem ser entregues ao requerente após receberem um carimbo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com o número e a data do Boletim de Serviço em que ocorreu a publicação. Para isso, é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necessário controlar a publicação do documento, acessando o portal do INEA. Os Boletins são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programados para publicação </w:t>
      </w:r>
      <w:proofErr w:type="gram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às</w:t>
      </w:r>
      <w:proofErr w:type="gramEnd"/>
      <w:r w:rsidRPr="003B0BBD">
        <w:rPr>
          <w:rFonts w:ascii="Times New Roman" w:hAnsi="Times New Roman" w:cs="Times New Roman"/>
          <w:color w:val="000000"/>
          <w:sz w:val="20"/>
          <w:szCs w:val="20"/>
        </w:rPr>
        <w:t xml:space="preserve"> terças e </w:t>
      </w:r>
      <w:proofErr w:type="spellStart"/>
      <w:r w:rsidRPr="003B0BBD">
        <w:rPr>
          <w:rFonts w:ascii="Times New Roman" w:hAnsi="Times New Roman" w:cs="Times New Roman"/>
          <w:color w:val="000000"/>
          <w:sz w:val="20"/>
          <w:szCs w:val="20"/>
        </w:rPr>
        <w:t>quintas-feira</w:t>
      </w:r>
      <w:proofErr w:type="spellEnd"/>
      <w:r w:rsidRPr="003B0BBD">
        <w:rPr>
          <w:rFonts w:ascii="Times New Roman" w:hAnsi="Times New Roman" w:cs="Times New Roman"/>
          <w:color w:val="000000"/>
          <w:sz w:val="20"/>
          <w:szCs w:val="20"/>
        </w:rPr>
        <w:t>, mas às vezes só aparecem no portal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com um dia de atraso.</w:t>
      </w:r>
    </w:p>
    <w:p w:rsidR="00F36935" w:rsidRPr="003B0BBD" w:rsidRDefault="00F3693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0076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  <w:r w:rsidRPr="00F36935"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  <w:t>Acompanhamento</w:t>
      </w:r>
    </w:p>
    <w:p w:rsidR="00F36935" w:rsidRPr="00F36935" w:rsidRDefault="00F3693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0"/>
          <w:szCs w:val="20"/>
          <w:u w:val="single"/>
        </w:rPr>
      </w:pPr>
    </w:p>
    <w:p w:rsidR="002E0076" w:rsidRPr="003B0BBD" w:rsidRDefault="002E0076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lastRenderedPageBreak/>
        <w:t>Antes de enviar o processo para que a fiscalização acompanhe o cumprimento das condições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de validade da licença, outorga ou certidão de inexigibilidade de licença, é necessário controlar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o cumprimento da condicionante nº 1 (publicação), no prazo de 30 dias.</w:t>
      </w:r>
    </w:p>
    <w:p w:rsidR="00F36935" w:rsidRDefault="00F36935" w:rsidP="002E0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72150" w:rsidRDefault="002E0076" w:rsidP="00F36935">
      <w:pPr>
        <w:autoSpaceDE w:val="0"/>
        <w:autoSpaceDN w:val="0"/>
        <w:adjustRightInd w:val="0"/>
        <w:spacing w:after="0" w:line="240" w:lineRule="auto"/>
      </w:pPr>
      <w:r w:rsidRPr="003B0BBD">
        <w:rPr>
          <w:rFonts w:ascii="Times New Roman" w:hAnsi="Times New Roman" w:cs="Times New Roman"/>
          <w:color w:val="000000"/>
          <w:sz w:val="20"/>
          <w:szCs w:val="20"/>
        </w:rPr>
        <w:t>Findo esse prazo, não tendo recebido as cópias das publicações, deve ser emitida uma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notificação alertando para a possibilidade de declaração de nulidade do documento concedido.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O texto padrão de notificação do Sistema que tem o código 0529 trata de licenças, mas pode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ser adaptado para outorga ou certidão de inexigibilidade de licença, com a exclusão das</w:t>
      </w:r>
      <w:r w:rsidR="00F3693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B0BBD">
        <w:rPr>
          <w:rFonts w:ascii="Times New Roman" w:hAnsi="Times New Roman" w:cs="Times New Roman"/>
          <w:color w:val="000000"/>
          <w:sz w:val="20"/>
          <w:szCs w:val="20"/>
        </w:rPr>
        <w:t>referências a publicação em jornal diário.</w:t>
      </w:r>
    </w:p>
    <w:sectPr w:rsidR="00A72150" w:rsidSect="00F67803">
      <w:pgSz w:w="16838" w:h="11906" w:orient="landscape"/>
      <w:pgMar w:top="1701" w:right="1245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FE4"/>
    <w:multiLevelType w:val="hybridMultilevel"/>
    <w:tmpl w:val="45A09186"/>
    <w:lvl w:ilvl="0" w:tplc="612A2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0076"/>
    <w:rsid w:val="002D2F62"/>
    <w:rsid w:val="002E0076"/>
    <w:rsid w:val="003B0BBD"/>
    <w:rsid w:val="003F55AD"/>
    <w:rsid w:val="005A1E85"/>
    <w:rsid w:val="006707E4"/>
    <w:rsid w:val="0077037C"/>
    <w:rsid w:val="00A72150"/>
    <w:rsid w:val="00B22AFE"/>
    <w:rsid w:val="00E13004"/>
    <w:rsid w:val="00F27470"/>
    <w:rsid w:val="00F36935"/>
    <w:rsid w:val="00F6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80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2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5868</Words>
  <Characters>31693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sisaura</dc:creator>
  <cp:lastModifiedBy>sisaura</cp:lastModifiedBy>
  <cp:revision>4</cp:revision>
  <dcterms:created xsi:type="dcterms:W3CDTF">2012-08-16T14:05:00Z</dcterms:created>
  <dcterms:modified xsi:type="dcterms:W3CDTF">2012-08-16T15:28:00Z</dcterms:modified>
</cp:coreProperties>
</file>